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7DD89">
      <w:pPr>
        <w:pStyle w:val="2"/>
        <w:spacing w:before="106" w:line="273" w:lineRule="auto"/>
        <w:ind w:left="0" w:right="25" w:firstLine="0"/>
        <w:jc w:val="center"/>
        <w:outlineLvl w:val="0"/>
        <w:rPr>
          <w:rFonts w:hint="eastAsia" w:ascii="FZXiaoBiaoSong-B05S" w:hAnsi="FZXiaoBiaoSong-B05S" w:eastAsia="宋体" w:cs="FZXiaoBiaoSong-B05S"/>
          <w:b/>
          <w:bCs/>
          <w:spacing w:val="-1"/>
          <w:sz w:val="36"/>
          <w:szCs w:val="36"/>
          <w:lang w:val="en-US" w:eastAsia="zh-CN"/>
        </w:rPr>
        <w:pPrChange w:id="0" w:author="Admin" w:date="2025-09-18T14:17:35Z">
          <w:pPr>
            <w:pStyle w:val="2"/>
            <w:spacing w:before="106" w:line="273" w:lineRule="auto"/>
            <w:ind w:left="597" w:right="25" w:hanging="564"/>
            <w:outlineLvl w:val="0"/>
          </w:pPr>
        </w:pPrChange>
      </w:pPr>
      <w:r>
        <w:rPr>
          <w:rFonts w:ascii="FZXiaoBiaoSong-B05S" w:hAnsi="FZXiaoBiaoSong-B05S" w:eastAsia="FZXiaoBiaoSong-B05S" w:cs="FZXiaoBiaoSong-B05S"/>
          <w:b/>
          <w:bCs/>
          <w:spacing w:val="-1"/>
          <w:sz w:val="36"/>
          <w:szCs w:val="36"/>
        </w:rPr>
        <w:t>数学学院关于省优、校优毕业生评定</w:t>
      </w:r>
      <w:r>
        <w:rPr>
          <w:rFonts w:hint="eastAsia" w:ascii="FZXiaoBiaoSong-B05S" w:hAnsi="FZXiaoBiaoSong-B05S" w:eastAsia="宋体" w:cs="FZXiaoBiaoSong-B05S"/>
          <w:b/>
          <w:bCs/>
          <w:spacing w:val="-1"/>
          <w:sz w:val="36"/>
          <w:szCs w:val="36"/>
          <w:lang w:val="en-US" w:eastAsia="zh-CN"/>
        </w:rPr>
        <w:t>的实施方案</w:t>
      </w:r>
    </w:p>
    <w:p w14:paraId="2D00C4D8">
      <w:pPr>
        <w:pStyle w:val="2"/>
        <w:spacing w:before="292" w:line="416" w:lineRule="auto"/>
        <w:ind w:left="33" w:right="10" w:firstLine="562"/>
        <w:jc w:val="both"/>
      </w:pPr>
      <w:r>
        <w:rPr>
          <w:spacing w:val="6"/>
        </w:rPr>
        <w:t>根据《杭州师范大学本科生先进集体和先进个人评选办</w:t>
      </w:r>
      <w:r>
        <w:rPr>
          <w:spacing w:val="5"/>
        </w:rPr>
        <w:t>法》的文</w:t>
      </w:r>
      <w:r>
        <w:t xml:space="preserve"> </w:t>
      </w:r>
      <w:r>
        <w:rPr>
          <w:spacing w:val="8"/>
        </w:rPr>
        <w:t>件精神（具体积分计算方法参见文件相关内容</w:t>
      </w:r>
      <w:r>
        <w:rPr>
          <w:spacing w:val="-72"/>
        </w:rPr>
        <w:t>），</w:t>
      </w:r>
      <w:r>
        <w:rPr>
          <w:spacing w:val="-76"/>
        </w:rPr>
        <w:t xml:space="preserve"> </w:t>
      </w:r>
      <w:r>
        <w:rPr>
          <w:spacing w:val="8"/>
        </w:rPr>
        <w:t>结合</w:t>
      </w:r>
      <w:bookmarkStart w:id="0" w:name="_GoBack"/>
      <w:bookmarkEnd w:id="0"/>
      <w:r>
        <w:rPr>
          <w:spacing w:val="8"/>
        </w:rPr>
        <w:t>学院实际，制</w:t>
      </w:r>
      <w:r>
        <w:t xml:space="preserve"> </w:t>
      </w:r>
      <w:r>
        <w:rPr>
          <w:spacing w:val="3"/>
        </w:rPr>
        <w:t>定本《补充说明细则》，对其他事宜和加分项目进行说明。</w:t>
      </w:r>
    </w:p>
    <w:p w14:paraId="6AC881A0">
      <w:pPr>
        <w:pStyle w:val="2"/>
        <w:spacing w:before="198" w:line="325" w:lineRule="auto"/>
        <w:ind w:left="41" w:right="62" w:hanging="3"/>
      </w:pPr>
      <w:r>
        <w:rPr>
          <w:spacing w:val="4"/>
        </w:rPr>
        <w:t>一、符合条件的同学自主申报，逾期不报者视为自动放弃，申报时间</w:t>
      </w:r>
      <w:r>
        <w:rPr>
          <w:spacing w:val="11"/>
        </w:rPr>
        <w:t xml:space="preserve"> </w:t>
      </w:r>
      <w:r>
        <w:rPr>
          <w:spacing w:val="1"/>
        </w:rPr>
        <w:t>另行通知。</w:t>
      </w:r>
    </w:p>
    <w:p w14:paraId="01DE921E">
      <w:pPr>
        <w:pStyle w:val="2"/>
        <w:spacing w:before="302" w:line="386" w:lineRule="auto"/>
        <w:ind w:left="34" w:right="15" w:firstLine="7"/>
      </w:pPr>
      <w:r>
        <w:rPr>
          <w:spacing w:val="6"/>
        </w:rPr>
        <w:t>二、优秀毕业生评比采取积分制。获得校优秀党员、</w:t>
      </w:r>
      <w:r>
        <w:rPr>
          <w:spacing w:val="5"/>
        </w:rPr>
        <w:t>校三好学生、市</w:t>
      </w:r>
      <w:r>
        <w:t xml:space="preserve"> </w:t>
      </w:r>
      <w:r>
        <w:rPr>
          <w:spacing w:val="4"/>
        </w:rPr>
        <w:t>级以上荣誉称号得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4"/>
        </w:rPr>
        <w:t>分；一等奖学金、校优秀学生干部、校优秀团干</w:t>
      </w:r>
      <w:r>
        <w:t xml:space="preserve"> </w:t>
      </w:r>
      <w:r>
        <w:rPr>
          <w:spacing w:val="3"/>
        </w:rPr>
        <w:t>部获得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3"/>
        </w:rPr>
        <w:t>分；二等奖学金、校优秀优秀团员得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3"/>
        </w:rPr>
        <w:t>分；三等奖学金（不</w:t>
      </w:r>
      <w:r>
        <w:t xml:space="preserve"> </w:t>
      </w:r>
      <w:r>
        <w:rPr>
          <w:spacing w:val="2"/>
        </w:rPr>
        <w:t>含师范专业奖学金三等奖）得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2"/>
        </w:rPr>
        <w:t>分，</w:t>
      </w:r>
      <w:r>
        <w:rPr>
          <w:rFonts w:hint="eastAsia"/>
          <w:spacing w:val="2"/>
          <w:lang w:val="en-US" w:eastAsia="zh-CN"/>
        </w:rPr>
        <w:t>其他荣誉称号</w:t>
      </w:r>
      <w:r>
        <w:rPr>
          <w:spacing w:val="1"/>
        </w:rPr>
        <w:t>得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1"/>
        </w:rPr>
        <w:t>分。同一荣誉就</w:t>
      </w:r>
      <w:r>
        <w:t xml:space="preserve"> </w:t>
      </w:r>
      <w:r>
        <w:rPr>
          <w:spacing w:val="6"/>
        </w:rPr>
        <w:t>高加分，不重复加分。</w:t>
      </w:r>
    </w:p>
    <w:p w14:paraId="3A0DC0FB">
      <w:pPr>
        <w:pStyle w:val="2"/>
        <w:spacing w:before="295" w:line="324" w:lineRule="auto"/>
        <w:ind w:left="44" w:right="42" w:hanging="3"/>
      </w:pPr>
      <w:r>
        <w:rPr>
          <w:spacing w:val="5"/>
        </w:rPr>
        <w:t>三、学院和学校组织学生参加的校级以上（不含校级）学科竞赛</w:t>
      </w:r>
      <w:r>
        <w:rPr>
          <w:spacing w:val="4"/>
        </w:rPr>
        <w:t>（需</w:t>
      </w:r>
      <w:r>
        <w:t xml:space="preserve"> </w:t>
      </w:r>
      <w:r>
        <w:rPr>
          <w:spacing w:val="7"/>
        </w:rPr>
        <w:t>与数学专业有较强的相关性）评定为市级以</w:t>
      </w:r>
      <w:r>
        <w:rPr>
          <w:spacing w:val="6"/>
        </w:rPr>
        <w:t>上荣誉。一类竞赛（除</w:t>
      </w:r>
    </w:p>
    <w:p w14:paraId="5A216E8D">
      <w:pPr>
        <w:pStyle w:val="2"/>
        <w:spacing w:before="302" w:line="388" w:lineRule="auto"/>
        <w:ind w:left="21" w:right="8" w:firstLine="18"/>
        <w:rPr>
          <w:spacing w:val="8"/>
        </w:rPr>
      </w:pPr>
      <w:r>
        <w:rPr>
          <w:spacing w:val="3"/>
        </w:rPr>
        <w:t>互联网</w:t>
      </w:r>
      <w:r>
        <w:rPr>
          <w:rFonts w:ascii="Times New Roman" w:hAnsi="Times New Roman" w:eastAsia="Times New Roman" w:cs="Times New Roman"/>
          <w:spacing w:val="3"/>
        </w:rPr>
        <w:t>+</w:t>
      </w:r>
      <w:r>
        <w:rPr>
          <w:spacing w:val="3"/>
        </w:rPr>
        <w:t>）获省三等奖及以上，加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3"/>
        </w:rPr>
        <w:t>分。</w:t>
      </w:r>
      <w:r>
        <w:rPr>
          <w:rFonts w:hint="eastAsia"/>
          <w:spacing w:val="4"/>
          <w:lang w:val="en-US" w:eastAsia="zh-CN"/>
        </w:rPr>
        <w:t>中国国际大学生创业大赛、挑战杯大赛</w:t>
      </w:r>
      <w:r>
        <w:rPr>
          <w:spacing w:val="3"/>
        </w:rPr>
        <w:t>获得省三等奖及以</w:t>
      </w:r>
      <w:r>
        <w:t xml:space="preserve"> </w:t>
      </w:r>
      <w:r>
        <w:rPr>
          <w:spacing w:val="3"/>
        </w:rPr>
        <w:t>上加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3"/>
        </w:rPr>
        <w:t>分</w:t>
      </w:r>
      <w:r>
        <w:rPr>
          <w:rFonts w:ascii="Times New Roman" w:hAnsi="Times New Roman" w:eastAsia="Times New Roman" w:cs="Times New Roman"/>
          <w:spacing w:val="3"/>
        </w:rPr>
        <w:t>/</w:t>
      </w:r>
      <w:r>
        <w:rPr>
          <w:spacing w:val="3"/>
        </w:rPr>
        <w:t>项</w:t>
      </w:r>
      <w:r>
        <w:rPr>
          <w:b/>
          <w:bCs/>
          <w:spacing w:val="3"/>
        </w:rPr>
        <w:t>（参加者根据排名，</w:t>
      </w:r>
      <w:r>
        <w:rPr>
          <w:rFonts w:hint="eastAsia"/>
          <w:b/>
          <w:bCs/>
          <w:spacing w:val="3"/>
          <w:lang w:val="en-US" w:eastAsia="zh-CN"/>
        </w:rPr>
        <w:t>得分标准参照下表</w:t>
      </w:r>
      <w:r>
        <w:rPr>
          <w:b/>
          <w:bCs/>
          <w:spacing w:val="-54"/>
        </w:rPr>
        <w:t>）</w:t>
      </w:r>
      <w:r>
        <w:rPr>
          <w:spacing w:val="-54"/>
        </w:rPr>
        <w:t>；</w:t>
      </w:r>
      <w:r>
        <w:rPr>
          <w:spacing w:val="3"/>
        </w:rPr>
        <w:t>其余二、三类竞赛获省三等奖及以</w:t>
      </w:r>
      <w:r>
        <w:rPr>
          <w:spacing w:val="2"/>
        </w:rPr>
        <w:t>上，加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2"/>
        </w:rPr>
        <w:t>分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8"/>
        </w:rPr>
        <w:t>项。学生自行参加的其他竞赛，经学院认定，加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8"/>
        </w:rPr>
        <w:t>分</w:t>
      </w:r>
      <w:r>
        <w:rPr>
          <w:rFonts w:ascii="Times New Roman" w:hAnsi="Times New Roman" w:eastAsia="Times New Roman" w:cs="Times New Roman"/>
          <w:spacing w:val="8"/>
        </w:rPr>
        <w:t>/</w:t>
      </w:r>
      <w:r>
        <w:rPr>
          <w:spacing w:val="8"/>
        </w:rPr>
        <w:t>项（具体有四</w:t>
      </w:r>
      <w:r>
        <w:t xml:space="preserve"> </w:t>
      </w:r>
      <w:r>
        <w:rPr>
          <w:spacing w:val="8"/>
        </w:rPr>
        <w:t>项：全国大学生数学竞赛；浙江省大学生高等数学（微积分）竞赛</w:t>
      </w:r>
      <w:r>
        <w:rPr>
          <w:spacing w:val="2"/>
        </w:rPr>
        <w:t xml:space="preserve">  ；</w:t>
      </w:r>
      <w:r>
        <w:rPr>
          <w:spacing w:val="-85"/>
        </w:rPr>
        <w:t xml:space="preserve"> </w:t>
      </w:r>
      <w:r>
        <w:rPr>
          <w:spacing w:val="2"/>
        </w:rPr>
        <w:t>“泰迪杯”数据挖掘挑战赛；长三角高校数学建模竞赛）。所有竞</w:t>
      </w:r>
      <w:r>
        <w:t xml:space="preserve"> </w:t>
      </w:r>
      <w:r>
        <w:rPr>
          <w:spacing w:val="8"/>
        </w:rPr>
        <w:t>赛的参与奖和优胜奖不加分。</w:t>
      </w:r>
    </w:p>
    <w:p w14:paraId="792B391D">
      <w:pPr>
        <w:pStyle w:val="2"/>
        <w:numPr>
          <w:ilvl w:val="0"/>
          <w:numId w:val="1"/>
        </w:numPr>
        <w:spacing w:before="298" w:line="332" w:lineRule="auto"/>
        <w:ind w:left="45" w:right="14" w:firstLine="20"/>
        <w:rPr>
          <w:spacing w:val="5"/>
        </w:rPr>
      </w:pPr>
      <w:r>
        <w:rPr>
          <w:spacing w:val="5"/>
        </w:rPr>
        <w:t>经亨颐奖学金、国家奖学金、马云卓越师范生奖</w:t>
      </w:r>
      <w:r>
        <w:t xml:space="preserve"> </w:t>
      </w:r>
      <w:r>
        <w:rPr>
          <w:spacing w:val="5"/>
        </w:rPr>
        <w:t>学金认定为学校较高荣誉奖学金，加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5"/>
        </w:rPr>
        <w:t>分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spacing w:val="5"/>
        </w:rPr>
        <w:t>项。</w:t>
      </w:r>
    </w:p>
    <w:p w14:paraId="480BB823">
      <w:pPr>
        <w:pStyle w:val="2"/>
        <w:numPr>
          <w:ilvl w:val="-1"/>
          <w:numId w:val="0"/>
        </w:numPr>
        <w:spacing w:before="298" w:line="332" w:lineRule="auto"/>
        <w:ind w:left="0" w:right="14" w:firstLine="0"/>
        <w:rPr>
          <w:rFonts w:hint="default" w:eastAsia="仿宋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注：中国国际大学生创新大赛、挑战杯等获奖团队排名得分计算比例如下：</w:t>
      </w:r>
    </w:p>
    <w:tbl>
      <w:tblPr>
        <w:tblStyle w:val="4"/>
        <w:tblW w:w="0" w:type="auto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650"/>
        <w:gridCol w:w="511"/>
        <w:gridCol w:w="511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</w:tblGrid>
      <w:tr w14:paraId="6AEA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</w:tcPr>
          <w:p w14:paraId="326EB24D">
            <w:pPr>
              <w:pStyle w:val="2"/>
              <w:widowControl w:val="0"/>
              <w:spacing w:before="0" w:line="240" w:lineRule="auto"/>
              <w:ind w:right="0"/>
              <w:jc w:val="center"/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</w:pPr>
          </w:p>
          <w:p w14:paraId="0AC85515">
            <w:pPr>
              <w:pStyle w:val="2"/>
              <w:widowControl w:val="0"/>
              <w:spacing w:before="0" w:line="240" w:lineRule="auto"/>
              <w:ind w:right="0"/>
              <w:jc w:val="center"/>
              <w:rPr>
                <w:rFonts w:hint="default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650" w:type="dxa"/>
          </w:tcPr>
          <w:p w14:paraId="16F3AEC8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eastAsia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22" w:type="dxa"/>
            <w:gridSpan w:val="2"/>
          </w:tcPr>
          <w:p w14:paraId="3B994972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spacing w:val="5"/>
                <w:sz w:val="24"/>
                <w:szCs w:val="24"/>
                <w:vertAlign w:val="baseline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36" w:type="dxa"/>
            <w:gridSpan w:val="3"/>
          </w:tcPr>
          <w:p w14:paraId="0E574505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eastAsia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50" w:type="dxa"/>
            <w:gridSpan w:val="4"/>
          </w:tcPr>
          <w:p w14:paraId="2692D2A4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eastAsia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565" w:type="dxa"/>
            <w:gridSpan w:val="5"/>
          </w:tcPr>
          <w:p w14:paraId="324C30AE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default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6AB8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</w:tcPr>
          <w:p w14:paraId="15986AB2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eastAsia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排序</w:t>
            </w:r>
          </w:p>
        </w:tc>
        <w:tc>
          <w:tcPr>
            <w:tcW w:w="650" w:type="dxa"/>
          </w:tcPr>
          <w:p w14:paraId="4F75B655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eastAsia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11" w:type="dxa"/>
          </w:tcPr>
          <w:p w14:paraId="7160932F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eastAsia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11" w:type="dxa"/>
          </w:tcPr>
          <w:p w14:paraId="787FE61F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eastAsia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12" w:type="dxa"/>
          </w:tcPr>
          <w:p w14:paraId="2218E4B9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eastAsia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12" w:type="dxa"/>
          </w:tcPr>
          <w:p w14:paraId="32D0208F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eastAsia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12" w:type="dxa"/>
          </w:tcPr>
          <w:p w14:paraId="7C0503A2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eastAsia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12" w:type="dxa"/>
          </w:tcPr>
          <w:p w14:paraId="2C4002B3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eastAsia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12" w:type="dxa"/>
          </w:tcPr>
          <w:p w14:paraId="0FF022FB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eastAsia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13" w:type="dxa"/>
          </w:tcPr>
          <w:p w14:paraId="5D8E714D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eastAsia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13" w:type="dxa"/>
          </w:tcPr>
          <w:p w14:paraId="21774C74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eastAsia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13" w:type="dxa"/>
          </w:tcPr>
          <w:p w14:paraId="28AC2FA6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eastAsia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13" w:type="dxa"/>
          </w:tcPr>
          <w:p w14:paraId="2E37BF83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eastAsia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13" w:type="dxa"/>
          </w:tcPr>
          <w:p w14:paraId="767753BE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eastAsia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13" w:type="dxa"/>
          </w:tcPr>
          <w:p w14:paraId="12674AC1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eastAsia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13" w:type="dxa"/>
          </w:tcPr>
          <w:p w14:paraId="2237A755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default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6B1E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8" w:type="dxa"/>
          </w:tcPr>
          <w:p w14:paraId="6B535EF9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default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所占比例%</w:t>
            </w:r>
          </w:p>
        </w:tc>
        <w:tc>
          <w:tcPr>
            <w:tcW w:w="650" w:type="dxa"/>
          </w:tcPr>
          <w:p w14:paraId="61148245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default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511" w:type="dxa"/>
          </w:tcPr>
          <w:p w14:paraId="0D774622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default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511" w:type="dxa"/>
          </w:tcPr>
          <w:p w14:paraId="2F954D12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default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512" w:type="dxa"/>
          </w:tcPr>
          <w:p w14:paraId="335FF3A9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default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512" w:type="dxa"/>
          </w:tcPr>
          <w:p w14:paraId="3061A2E0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default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512" w:type="dxa"/>
          </w:tcPr>
          <w:p w14:paraId="18E59680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default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12" w:type="dxa"/>
          </w:tcPr>
          <w:p w14:paraId="1288084A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default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512" w:type="dxa"/>
          </w:tcPr>
          <w:p w14:paraId="6A88A743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default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513" w:type="dxa"/>
          </w:tcPr>
          <w:p w14:paraId="3FA5E8F6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default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13" w:type="dxa"/>
          </w:tcPr>
          <w:p w14:paraId="6CBF2859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default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13" w:type="dxa"/>
          </w:tcPr>
          <w:p w14:paraId="1D318F3F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default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513" w:type="dxa"/>
          </w:tcPr>
          <w:p w14:paraId="0723FC76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default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13" w:type="dxa"/>
          </w:tcPr>
          <w:p w14:paraId="590D7911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default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13" w:type="dxa"/>
          </w:tcPr>
          <w:p w14:paraId="6C28A49D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default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13" w:type="dxa"/>
          </w:tcPr>
          <w:p w14:paraId="1ECD150E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eastAsia" w:eastAsia="仿宋"/>
                <w:spacing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2716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1" w:type="dxa"/>
            <w:gridSpan w:val="16"/>
          </w:tcPr>
          <w:p w14:paraId="3BD6AAB7">
            <w:pPr>
              <w:pStyle w:val="2"/>
              <w:widowControl w:val="0"/>
              <w:spacing w:before="298" w:line="332" w:lineRule="auto"/>
              <w:ind w:right="14"/>
              <w:jc w:val="center"/>
              <w:rPr>
                <w:rFonts w:hint="default" w:eastAsia="仿宋"/>
                <w:spacing w:val="5"/>
                <w:vertAlign w:val="baseline"/>
                <w:lang w:val="en-US" w:eastAsia="zh-CN"/>
              </w:rPr>
            </w:pPr>
            <w:r>
              <w:rPr>
                <w:rFonts w:hint="eastAsia"/>
                <w:spacing w:val="5"/>
                <w:vertAlign w:val="baseline"/>
                <w:lang w:val="en-US" w:eastAsia="zh-CN"/>
              </w:rPr>
              <w:t>备注：一类竞赛从第六名开始适用于本表。</w:t>
            </w:r>
          </w:p>
        </w:tc>
      </w:tr>
    </w:tbl>
    <w:p w14:paraId="2E4130D8">
      <w:pPr>
        <w:pStyle w:val="2"/>
        <w:numPr>
          <w:ilvl w:val="0"/>
          <w:numId w:val="1"/>
        </w:numPr>
        <w:spacing w:before="277" w:line="332" w:lineRule="auto"/>
        <w:ind w:left="45" w:leftChars="0" w:right="14" w:firstLine="20" w:firstLineChars="0"/>
        <w:rPr>
          <w:rFonts w:hint="eastAsia" w:eastAsia="仿宋"/>
          <w:spacing w:val="5"/>
          <w:lang w:eastAsia="zh-CN"/>
        </w:rPr>
      </w:pPr>
      <w:r>
        <w:rPr>
          <w:spacing w:val="7"/>
        </w:rPr>
        <w:t>福慧奖学金、亚思奖学金、生科院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</w:rPr>
        <w:t>REACH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7"/>
        </w:rPr>
        <w:t>奖学金、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叶圣陶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奖</w:t>
      </w:r>
      <w:r>
        <w:t xml:space="preserve"> </w:t>
      </w:r>
      <w:r>
        <w:rPr>
          <w:spacing w:val="6"/>
        </w:rPr>
        <w:t>学金、海亮优秀学生奖学金认定为外设奖学金，加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5"/>
        </w:rPr>
        <w:t>分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spacing w:val="5"/>
        </w:rPr>
        <w:t>项。</w:t>
      </w:r>
    </w:p>
    <w:p w14:paraId="6DA91E4F">
      <w:pPr>
        <w:pStyle w:val="2"/>
        <w:spacing w:before="184" w:line="325" w:lineRule="auto"/>
        <w:ind w:right="87"/>
      </w:pPr>
      <w:r>
        <w:rPr>
          <w:spacing w:val="6"/>
        </w:rPr>
        <w:t>六、困难生资助性质的奖学金，如励学、励志、助学金、</w:t>
      </w:r>
      <w:r>
        <w:rPr>
          <w:rFonts w:hint="eastAsia"/>
          <w:spacing w:val="6"/>
          <w:lang w:val="en-US" w:eastAsia="zh-CN"/>
        </w:rPr>
        <w:t>福慧助学金、</w:t>
      </w:r>
      <w:r>
        <w:rPr>
          <w:spacing w:val="6"/>
        </w:rPr>
        <w:t>海亮助学金等一律不加分。</w:t>
      </w:r>
    </w:p>
    <w:p w14:paraId="4F6F9CDD">
      <w:pPr>
        <w:pStyle w:val="2"/>
        <w:spacing w:before="296" w:line="376" w:lineRule="auto"/>
        <w:ind w:left="32" w:right="84" w:firstLine="6"/>
      </w:pPr>
      <w:r>
        <w:rPr>
          <w:spacing w:val="-2"/>
        </w:rPr>
        <w:t>七、专利加分原则，发明专利为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2"/>
        </w:rPr>
        <w:t>分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项，实用新型专利为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2"/>
        </w:rPr>
        <w:t>分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项（限</w:t>
      </w:r>
      <w:r>
        <w:t xml:space="preserve"> </w:t>
      </w:r>
      <w:r>
        <w:rPr>
          <w:spacing w:val="-7"/>
        </w:rPr>
        <w:t>定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7"/>
        </w:rPr>
        <w:t>项</w:t>
      </w:r>
      <w:r>
        <w:rPr>
          <w:spacing w:val="-57"/>
        </w:rPr>
        <w:t>），</w:t>
      </w:r>
      <w:r>
        <w:rPr>
          <w:spacing w:val="-7"/>
        </w:rPr>
        <w:t>软件著作权为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7"/>
        </w:rPr>
        <w:t>分</w:t>
      </w:r>
      <w:r>
        <w:rPr>
          <w:rFonts w:ascii="Times New Roman" w:hAnsi="Times New Roman" w:eastAsia="Times New Roman" w:cs="Times New Roman"/>
          <w:spacing w:val="-7"/>
        </w:rPr>
        <w:t>/</w:t>
      </w:r>
      <w:r>
        <w:rPr>
          <w:spacing w:val="-7"/>
        </w:rPr>
        <w:t>项（限定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7"/>
        </w:rPr>
        <w:t>项）。（</w:t>
      </w:r>
      <w:r>
        <w:rPr>
          <w:b/>
          <w:bCs/>
          <w:spacing w:val="-7"/>
        </w:rPr>
        <w:t>根据排名，加分依次</w:t>
      </w:r>
      <w:r>
        <w:t xml:space="preserve"> </w:t>
      </w:r>
      <w:r>
        <w:rPr>
          <w:b/>
          <w:bCs/>
          <w:spacing w:val="4"/>
        </w:rPr>
        <w:t>递减，得分公式为：满分分值</w:t>
      </w:r>
      <w:r>
        <w:rPr>
          <w:rFonts w:ascii="Times New Roman" w:hAnsi="Times New Roman" w:eastAsia="Times New Roman" w:cs="Times New Roman"/>
          <w:b/>
          <w:bCs/>
          <w:spacing w:val="4"/>
        </w:rPr>
        <w:t>*(1/2</w:t>
      </w:r>
      <w:r>
        <w:rPr>
          <w:rFonts w:ascii="Times New Roman" w:hAnsi="Times New Roman" w:eastAsia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position w:val="9"/>
          <w:sz w:val="18"/>
          <w:szCs w:val="18"/>
        </w:rPr>
        <w:t>n-1</w:t>
      </w:r>
      <w:r>
        <w:rPr>
          <w:rFonts w:ascii="Times New Roman" w:hAnsi="Times New Roman" w:eastAsia="Times New Roman" w:cs="Times New Roman"/>
          <w:b/>
          <w:bCs/>
          <w:spacing w:val="4"/>
        </w:rPr>
        <w:t>)</w:t>
      </w:r>
      <w:r>
        <w:rPr>
          <w:rFonts w:ascii="Times New Roman" w:hAnsi="Times New Roman" w:eastAsia="Times New Roman" w:cs="Times New Roman"/>
          <w:b/>
          <w:bCs/>
          <w:spacing w:val="-36"/>
        </w:rPr>
        <w:t xml:space="preserve"> </w:t>
      </w:r>
      <w:r>
        <w:rPr>
          <w:b/>
          <w:bCs/>
          <w:spacing w:val="4"/>
        </w:rPr>
        <w:t>，</w:t>
      </w:r>
      <w:r>
        <w:rPr>
          <w:rFonts w:ascii="Times New Roman" w:hAnsi="Times New Roman" w:eastAsia="Times New Roman" w:cs="Times New Roman"/>
          <w:b/>
          <w:bCs/>
          <w:spacing w:val="4"/>
        </w:rPr>
        <w:t>n</w:t>
      </w:r>
      <w:r>
        <w:rPr>
          <w:rFonts w:ascii="Times New Roman" w:hAnsi="Times New Roman" w:eastAsia="Times New Roman" w:cs="Times New Roman"/>
          <w:b/>
          <w:bCs/>
          <w:spacing w:val="27"/>
        </w:rPr>
        <w:t xml:space="preserve"> </w:t>
      </w:r>
      <w:r>
        <w:rPr>
          <w:b/>
          <w:bCs/>
          <w:spacing w:val="4"/>
        </w:rPr>
        <w:t>为排名顺序，排名不包括</w:t>
      </w:r>
      <w:r>
        <w:t xml:space="preserve">  </w:t>
      </w:r>
      <w:r>
        <w:rPr>
          <w:b/>
          <w:bCs/>
          <w:spacing w:val="-37"/>
        </w:rPr>
        <w:t>教师</w:t>
      </w:r>
      <w:r>
        <w:rPr>
          <w:spacing w:val="-37"/>
        </w:rPr>
        <w:t>）。</w:t>
      </w:r>
    </w:p>
    <w:p w14:paraId="013E3018">
      <w:pPr>
        <w:pStyle w:val="2"/>
        <w:spacing w:before="297" w:line="376" w:lineRule="auto"/>
        <w:ind w:left="36" w:right="137" w:hanging="4"/>
      </w:pPr>
      <w:r>
        <w:rPr>
          <w:spacing w:val="6"/>
        </w:rPr>
        <w:t>八、学术论文加分原则，</w:t>
      </w:r>
      <w:r>
        <w:rPr>
          <w:spacing w:val="-70"/>
        </w:rPr>
        <w:t xml:space="preserve"> </w:t>
      </w:r>
      <w:r>
        <w:rPr>
          <w:spacing w:val="6"/>
        </w:rPr>
        <w:t>国家核心期刊及以上为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4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5"/>
        </w:rPr>
        <w:t>分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spacing w:val="5"/>
        </w:rPr>
        <w:t>篇，其他公开</w:t>
      </w:r>
      <w:r>
        <w:t xml:space="preserve"> </w:t>
      </w:r>
      <w:r>
        <w:rPr>
          <w:spacing w:val="1"/>
        </w:rPr>
        <w:t>发行的正规刊物为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1"/>
        </w:rPr>
        <w:t>分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spacing w:val="1"/>
        </w:rPr>
        <w:t>篇</w:t>
      </w:r>
      <w:r>
        <w:rPr>
          <w:rFonts w:ascii="Times New Roman" w:hAnsi="Times New Roman" w:eastAsia="Times New Roman" w:cs="Times New Roman"/>
          <w:spacing w:val="1"/>
        </w:rPr>
        <w:t>(</w:t>
      </w:r>
      <w:r>
        <w:rPr>
          <w:spacing w:val="1"/>
        </w:rPr>
        <w:t>中文和外文各限定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1"/>
        </w:rPr>
        <w:t>篇</w:t>
      </w:r>
      <w:r>
        <w:rPr>
          <w:rFonts w:ascii="Times New Roman" w:hAnsi="Times New Roman" w:eastAsia="Times New Roman" w:cs="Times New Roman"/>
          <w:spacing w:val="1"/>
        </w:rPr>
        <w:t>)</w:t>
      </w:r>
      <w:r>
        <w:rPr>
          <w:spacing w:val="1"/>
        </w:rPr>
        <w:t>。（</w:t>
      </w:r>
      <w:r>
        <w:rPr>
          <w:b/>
          <w:bCs/>
          <w:spacing w:val="1"/>
        </w:rPr>
        <w:t>根据排名，加</w:t>
      </w:r>
      <w:r>
        <w:t xml:space="preserve"> </w:t>
      </w:r>
      <w:r>
        <w:rPr>
          <w:b/>
          <w:bCs/>
          <w:spacing w:val="4"/>
        </w:rPr>
        <w:t>分依次递减，得分公式为：满分分值</w:t>
      </w:r>
      <w:r>
        <w:rPr>
          <w:rFonts w:ascii="Times New Roman" w:hAnsi="Times New Roman" w:eastAsia="Times New Roman" w:cs="Times New Roman"/>
          <w:b/>
          <w:bCs/>
          <w:spacing w:val="4"/>
        </w:rPr>
        <w:t>*(1/2</w:t>
      </w:r>
      <w:r>
        <w:rPr>
          <w:rFonts w:ascii="Times New Roman" w:hAnsi="Times New Roman" w:eastAsia="Times New Roman" w:cs="Times New Roman"/>
          <w:b/>
          <w:bCs/>
          <w:spacing w:val="-1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position w:val="9"/>
          <w:sz w:val="18"/>
          <w:szCs w:val="18"/>
        </w:rPr>
        <w:t>n-1</w:t>
      </w:r>
      <w:r>
        <w:rPr>
          <w:rFonts w:ascii="Times New Roman" w:hAnsi="Times New Roman" w:eastAsia="Times New Roman" w:cs="Times New Roman"/>
          <w:b/>
          <w:bCs/>
          <w:spacing w:val="4"/>
        </w:rPr>
        <w:t>)</w:t>
      </w:r>
      <w:r>
        <w:rPr>
          <w:rFonts w:ascii="Times New Roman" w:hAnsi="Times New Roman" w:eastAsia="Times New Roman" w:cs="Times New Roman"/>
          <w:b/>
          <w:bCs/>
          <w:spacing w:val="-30"/>
        </w:rPr>
        <w:t xml:space="preserve"> </w:t>
      </w:r>
      <w:r>
        <w:rPr>
          <w:b/>
          <w:bCs/>
          <w:spacing w:val="4"/>
        </w:rPr>
        <w:t>，</w:t>
      </w:r>
      <w:r>
        <w:rPr>
          <w:rFonts w:ascii="Times New Roman" w:hAnsi="Times New Roman" w:eastAsia="Times New Roman" w:cs="Times New Roman"/>
          <w:b/>
          <w:bCs/>
          <w:spacing w:val="4"/>
        </w:rPr>
        <w:t>n</w:t>
      </w:r>
      <w:r>
        <w:rPr>
          <w:rFonts w:ascii="Times New Roman" w:hAnsi="Times New Roman" w:eastAsia="Times New Roman" w:cs="Times New Roman"/>
          <w:b/>
          <w:bCs/>
          <w:spacing w:val="26"/>
          <w:w w:val="101"/>
        </w:rPr>
        <w:t xml:space="preserve"> </w:t>
      </w:r>
      <w:r>
        <w:rPr>
          <w:b/>
          <w:bCs/>
          <w:spacing w:val="4"/>
        </w:rPr>
        <w:t>为排名顺序，排名</w:t>
      </w:r>
      <w:r>
        <w:t xml:space="preserve"> </w:t>
      </w:r>
      <w:r>
        <w:rPr>
          <w:b/>
          <w:bCs/>
          <w:spacing w:val="3"/>
        </w:rPr>
        <w:t>不包括教师</w:t>
      </w:r>
      <w:r>
        <w:rPr>
          <w:spacing w:val="3"/>
        </w:rPr>
        <w:t>）</w:t>
      </w:r>
    </w:p>
    <w:p w14:paraId="32CBDC8E">
      <w:pPr>
        <w:pStyle w:val="2"/>
        <w:spacing w:before="298" w:line="358" w:lineRule="auto"/>
        <w:ind w:left="32" w:firstLine="10"/>
      </w:pPr>
      <w:r>
        <w:rPr>
          <w:spacing w:val="5"/>
        </w:rPr>
        <w:t>九、立项并结题全国大学生创新创业训练计划项目或浙江省大学生科</w:t>
      </w:r>
      <w:r>
        <w:rPr>
          <w:spacing w:val="17"/>
        </w:rPr>
        <w:t xml:space="preserve"> </w:t>
      </w:r>
      <w:r>
        <w:rPr>
          <w:spacing w:val="1"/>
        </w:rPr>
        <w:t xml:space="preserve">技创新活动计划（新苗人才计划）项目，加分 </w:t>
      </w:r>
      <w:r>
        <w:rPr>
          <w:rFonts w:ascii="Times New Roman" w:hAnsi="Times New Roman" w:eastAsia="Times New Roman" w:cs="Times New Roman"/>
          <w:spacing w:val="1"/>
        </w:rPr>
        <w:t xml:space="preserve">4  </w:t>
      </w:r>
      <w:r>
        <w:rPr>
          <w:spacing w:val="1"/>
        </w:rPr>
        <w:t>分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spacing w:val="1"/>
        </w:rPr>
        <w:t>项。</w:t>
      </w:r>
      <w:r>
        <w:rPr>
          <w:b/>
          <w:bCs/>
          <w:spacing w:val="1"/>
        </w:rPr>
        <w:t>（根据排名，</w:t>
      </w:r>
      <w:r>
        <w:rPr>
          <w:spacing w:val="10"/>
        </w:rPr>
        <w:t xml:space="preserve"> </w:t>
      </w:r>
      <w:r>
        <w:rPr>
          <w:b/>
          <w:bCs/>
          <w:spacing w:val="3"/>
        </w:rPr>
        <w:t>加分依次递减，得分公式为：</w:t>
      </w:r>
      <w:r>
        <w:rPr>
          <w:rFonts w:ascii="Times New Roman" w:hAnsi="Times New Roman" w:eastAsia="Times New Roman" w:cs="Times New Roman"/>
          <w:b/>
          <w:bCs/>
          <w:spacing w:val="3"/>
        </w:rPr>
        <w:t>4*(1/2</w:t>
      </w:r>
      <w:r>
        <w:rPr>
          <w:rFonts w:ascii="Times New Roman" w:hAnsi="Times New Roman" w:eastAsia="Times New Roman" w:cs="Times New Roman"/>
          <w:b/>
          <w:bCs/>
          <w:spacing w:val="-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  <w:position w:val="9"/>
          <w:sz w:val="18"/>
          <w:szCs w:val="18"/>
        </w:rPr>
        <w:t>n-1</w:t>
      </w:r>
      <w:r>
        <w:rPr>
          <w:rFonts w:ascii="Times New Roman" w:hAnsi="Times New Roman" w:eastAsia="Times New Roman" w:cs="Times New Roman"/>
          <w:b/>
          <w:bCs/>
          <w:spacing w:val="3"/>
        </w:rPr>
        <w:t>)</w:t>
      </w:r>
      <w:r>
        <w:rPr>
          <w:rFonts w:ascii="Times New Roman" w:hAnsi="Times New Roman" w:eastAsia="Times New Roman" w:cs="Times New Roman"/>
          <w:b/>
          <w:bCs/>
          <w:spacing w:val="-36"/>
        </w:rPr>
        <w:t xml:space="preserve"> </w:t>
      </w:r>
      <w:r>
        <w:rPr>
          <w:b/>
          <w:bCs/>
          <w:spacing w:val="3"/>
        </w:rPr>
        <w:t>，</w:t>
      </w:r>
      <w:r>
        <w:rPr>
          <w:rFonts w:ascii="Times New Roman" w:hAnsi="Times New Roman" w:eastAsia="Times New Roman" w:cs="Times New Roman"/>
          <w:b/>
          <w:bCs/>
          <w:spacing w:val="3"/>
        </w:rPr>
        <w:t>n</w:t>
      </w:r>
      <w:r>
        <w:rPr>
          <w:rFonts w:ascii="Times New Roman" w:hAnsi="Times New Roman" w:eastAsia="Times New Roman" w:cs="Times New Roman"/>
          <w:b/>
          <w:bCs/>
          <w:spacing w:val="27"/>
        </w:rPr>
        <w:t xml:space="preserve"> </w:t>
      </w:r>
      <w:r>
        <w:rPr>
          <w:b/>
          <w:bCs/>
          <w:spacing w:val="3"/>
        </w:rPr>
        <w:t>为排名顺序）</w:t>
      </w:r>
    </w:p>
    <w:p w14:paraId="4FE3275C">
      <w:pPr>
        <w:pStyle w:val="2"/>
        <w:spacing w:before="299" w:line="333" w:lineRule="auto"/>
        <w:ind w:left="44" w:right="87" w:hanging="3"/>
      </w:pPr>
      <w:r>
        <w:rPr>
          <w:spacing w:val="9"/>
        </w:rPr>
        <w:t>十、</w:t>
      </w:r>
      <w:r>
        <w:rPr>
          <w:rFonts w:hint="eastAsia"/>
          <w:spacing w:val="9"/>
          <w:lang w:val="en-US" w:eastAsia="zh-CN"/>
        </w:rPr>
        <w:t>杭</w:t>
      </w:r>
      <w:r>
        <w:rPr>
          <w:rFonts w:hint="eastAsia" w:ascii="Times New Roman" w:hAnsi="Times New Roman" w:eastAsia="宋体" w:cs="Times New Roman"/>
          <w:spacing w:val="46"/>
          <w:lang w:val="en-US" w:eastAsia="zh-CN"/>
        </w:rPr>
        <w:t>州第19届亚运会志愿者</w:t>
      </w:r>
      <w:r>
        <w:rPr>
          <w:spacing w:val="9"/>
        </w:rPr>
        <w:t>（</w:t>
      </w:r>
      <w:r>
        <w:rPr>
          <w:spacing w:val="8"/>
        </w:rPr>
        <w:t>证书</w:t>
      </w:r>
      <w:r>
        <w:rPr>
          <w:spacing w:val="6"/>
        </w:rPr>
        <w:t>需为组委会颁发）可认定为市级以上荣誉，加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6"/>
        </w:rPr>
        <w:t>分</w:t>
      </w:r>
      <w:r>
        <w:rPr>
          <w:rFonts w:ascii="Times New Roman" w:hAnsi="Times New Roman" w:eastAsia="Times New Roman" w:cs="Times New Roman"/>
          <w:spacing w:val="6"/>
        </w:rPr>
        <w:t>/</w:t>
      </w:r>
      <w:r>
        <w:rPr>
          <w:spacing w:val="6"/>
        </w:rPr>
        <w:t>项。</w:t>
      </w:r>
    </w:p>
    <w:p w14:paraId="60E85464">
      <w:pPr>
        <w:pStyle w:val="2"/>
        <w:spacing w:before="275" w:line="223" w:lineRule="auto"/>
        <w:ind w:left="41"/>
        <w:outlineLvl w:val="0"/>
      </w:pPr>
      <w:r>
        <w:rPr>
          <w:b/>
          <w:bCs/>
          <w:spacing w:val="3"/>
        </w:rPr>
        <w:t>十一、《杭州师范大学本科生先进集体和先进个人评选办法</w:t>
      </w:r>
      <w:r>
        <w:rPr>
          <w:b/>
          <w:bCs/>
          <w:spacing w:val="2"/>
        </w:rPr>
        <w:t>》的涉及</w:t>
      </w:r>
    </w:p>
    <w:p w14:paraId="542E1A9B">
      <w:pPr>
        <w:pStyle w:val="2"/>
        <w:spacing w:before="297" w:line="411" w:lineRule="auto"/>
        <w:ind w:left="35" w:right="9" w:hanging="2"/>
        <w:jc w:val="both"/>
      </w:pPr>
      <w:r>
        <w:rPr>
          <w:b/>
          <w:bCs/>
          <w:spacing w:val="-5"/>
        </w:rPr>
        <w:t>优秀毕业生评选条件（第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>9</w:t>
      </w:r>
      <w:r>
        <w:rPr>
          <w:rFonts w:ascii="Times New Roman" w:hAnsi="Times New Roman" w:eastAsia="Times New Roman" w:cs="Times New Roman"/>
          <w:b/>
          <w:bCs/>
          <w:spacing w:val="33"/>
        </w:rPr>
        <w:t xml:space="preserve"> </w:t>
      </w:r>
      <w:r>
        <w:rPr>
          <w:b/>
          <w:bCs/>
          <w:spacing w:val="-5"/>
        </w:rPr>
        <w:t>页）仅解释为师范生需要通过普通话考试，</w:t>
      </w:r>
      <w:r>
        <w:t xml:space="preserve"> </w:t>
      </w:r>
      <w:r>
        <w:rPr>
          <w:b/>
          <w:bCs/>
          <w:spacing w:val="5"/>
        </w:rPr>
        <w:t>对计算机和英语等级不作要求。</w:t>
      </w:r>
    </w:p>
    <w:p w14:paraId="32D8B291">
      <w:pPr>
        <w:pStyle w:val="2"/>
        <w:numPr>
          <w:ilvl w:val="0"/>
          <w:numId w:val="2"/>
        </w:numPr>
        <w:spacing w:before="45" w:line="419" w:lineRule="auto"/>
        <w:ind w:left="37" w:right="86" w:firstLine="4"/>
        <w:jc w:val="both"/>
        <w:rPr>
          <w:spacing w:val="-4"/>
        </w:rPr>
      </w:pPr>
      <w:r>
        <w:rPr>
          <w:spacing w:val="5"/>
        </w:rPr>
        <w:t>参选省级优秀毕业生和校级优秀毕业生的同学须满足《</w:t>
      </w:r>
      <w:r>
        <w:rPr>
          <w:b/>
          <w:bCs/>
          <w:spacing w:val="5"/>
        </w:rPr>
        <w:t>杭州师</w:t>
      </w:r>
      <w:r>
        <w:rPr>
          <w:spacing w:val="16"/>
        </w:rPr>
        <w:t xml:space="preserve"> </w:t>
      </w:r>
      <w:r>
        <w:rPr>
          <w:b/>
          <w:bCs/>
          <w:spacing w:val="4"/>
        </w:rPr>
        <w:t>范大学本科生先进集体和先进个人评选办法</w:t>
      </w:r>
      <w:r>
        <w:rPr>
          <w:spacing w:val="4"/>
        </w:rPr>
        <w:t>》中涉及优秀毕业生的评</w:t>
      </w:r>
      <w:r>
        <w:rPr>
          <w:spacing w:val="5"/>
        </w:rPr>
        <w:t xml:space="preserve"> </w:t>
      </w:r>
      <w:r>
        <w:rPr>
          <w:spacing w:val="6"/>
        </w:rPr>
        <w:t>选条件，具备破格推荐条件的优秀毕业生可以单独申请，破格推荐需</w:t>
      </w:r>
      <w:r>
        <w:t xml:space="preserve"> </w:t>
      </w:r>
      <w:r>
        <w:rPr>
          <w:spacing w:val="4"/>
        </w:rPr>
        <w:t>要满足的条件，请参考《</w:t>
      </w:r>
      <w:r>
        <w:rPr>
          <w:b/>
          <w:bCs/>
          <w:spacing w:val="4"/>
        </w:rPr>
        <w:t>杭州师范大学本科生先进集体和先进个人评</w:t>
      </w:r>
      <w:r>
        <w:rPr>
          <w:b/>
          <w:bCs/>
          <w:spacing w:val="-4"/>
        </w:rPr>
        <w:t>选办法</w:t>
      </w:r>
      <w:r>
        <w:rPr>
          <w:spacing w:val="-4"/>
        </w:rPr>
        <w:t>》</w:t>
      </w:r>
      <w:r>
        <w:rPr>
          <w:spacing w:val="-62"/>
        </w:rPr>
        <w:t xml:space="preserve"> </w:t>
      </w:r>
      <w:r>
        <w:rPr>
          <w:spacing w:val="-4"/>
        </w:rPr>
        <w:t>中相关规定。</w:t>
      </w:r>
    </w:p>
    <w:p w14:paraId="450F9A72">
      <w:pPr>
        <w:pStyle w:val="2"/>
        <w:numPr>
          <w:numId w:val="0"/>
        </w:numPr>
        <w:spacing w:before="45" w:line="419" w:lineRule="auto"/>
        <w:ind w:left="41" w:leftChars="0" w:right="86" w:rightChars="0"/>
        <w:jc w:val="both"/>
      </w:pPr>
      <w:r>
        <w:rPr>
          <w:spacing w:val="6"/>
        </w:rPr>
        <w:t>十三、破格推荐人员不占学院校优、省优的总名额，</w:t>
      </w:r>
      <w:r>
        <w:rPr>
          <w:spacing w:val="5"/>
        </w:rPr>
        <w:t>且需经过学校学</w:t>
      </w:r>
      <w:r>
        <w:t xml:space="preserve"> </w:t>
      </w:r>
      <w:r>
        <w:rPr>
          <w:spacing w:val="6"/>
        </w:rPr>
        <w:t>术委员会讨论和认定。</w:t>
      </w:r>
    </w:p>
    <w:p w14:paraId="3673AB54">
      <w:pPr>
        <w:pStyle w:val="2"/>
        <w:spacing w:before="43" w:line="412" w:lineRule="auto"/>
        <w:ind w:left="6047" w:right="121" w:firstLine="227"/>
        <w:jc w:val="right"/>
        <w:rPr>
          <w:rFonts w:hint="default" w:eastAsia="仿宋"/>
          <w:lang w:val="en-US" w:eastAsia="zh-CN"/>
        </w:rPr>
      </w:pPr>
      <w:r>
        <w:rPr>
          <w:spacing w:val="6"/>
        </w:rPr>
        <w:t>数学学院学工办</w:t>
      </w:r>
      <w:r>
        <w:rPr>
          <w:spacing w:val="2"/>
        </w:rPr>
        <w:t xml:space="preserve"> </w:t>
      </w:r>
      <w:r>
        <w:rPr>
          <w:rFonts w:hint="eastAsia"/>
          <w:spacing w:val="-1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pacing w:val="-11"/>
          <w:lang w:val="en-US" w:eastAsia="zh-CN"/>
        </w:rPr>
        <w:t>2025年7月1日</w:t>
      </w:r>
    </w:p>
    <w:sectPr>
      <w:pgSz w:w="11905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89DC00"/>
    <w:multiLevelType w:val="singleLevel"/>
    <w:tmpl w:val="AD89DC00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09A0F1"/>
    <w:multiLevelType w:val="singleLevel"/>
    <w:tmpl w:val="1709A0F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002DF7"/>
    <w:rsid w:val="04461F7D"/>
    <w:rsid w:val="077F19A3"/>
    <w:rsid w:val="106229A7"/>
    <w:rsid w:val="14123C2A"/>
    <w:rsid w:val="19F8741E"/>
    <w:rsid w:val="1D107BC2"/>
    <w:rsid w:val="1D807E56"/>
    <w:rsid w:val="234D7421"/>
    <w:rsid w:val="23675615"/>
    <w:rsid w:val="25EB7E37"/>
    <w:rsid w:val="34C24459"/>
    <w:rsid w:val="3A5F274A"/>
    <w:rsid w:val="3C574020"/>
    <w:rsid w:val="40B557B9"/>
    <w:rsid w:val="41E225DE"/>
    <w:rsid w:val="4201782B"/>
    <w:rsid w:val="44B30262"/>
    <w:rsid w:val="451F3201"/>
    <w:rsid w:val="46FD7572"/>
    <w:rsid w:val="48C77E38"/>
    <w:rsid w:val="4DC5020A"/>
    <w:rsid w:val="503C55AF"/>
    <w:rsid w:val="57C475F6"/>
    <w:rsid w:val="61047A23"/>
    <w:rsid w:val="625978FB"/>
    <w:rsid w:val="66886155"/>
    <w:rsid w:val="69897B64"/>
    <w:rsid w:val="69B67D29"/>
    <w:rsid w:val="6FD65B7D"/>
    <w:rsid w:val="758C516B"/>
    <w:rsid w:val="7608190C"/>
    <w:rsid w:val="7EC14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1332</Words>
  <Characters>1379</Characters>
  <TotalTime>1</TotalTime>
  <ScaleCrop>false</ScaleCrop>
  <LinksUpToDate>false</LinksUpToDate>
  <CharactersWithSpaces>1481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2025-03-13T14:32:00Z</dcterms:created>
  <dc:creator>微软用户</dc:creator>
  <cp:lastModifiedBy>Admin</cp:lastModifiedBy>
  <dcterms:modified xsi:type="dcterms:W3CDTF">2025-09-18T06:31:54Z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2025-05-22T10:30:59Z</vt:filetime>
  </property>
  <property fmtid="{D5CDD505-2E9C-101B-9397-08002B2CF9AE}" pid="4" name="KSOTemplateDocerSaveRecord">
    <vt:lpwstr>eyJoZGlkIjoiNmViM2Y2ZmI3OTg0ZjYyMjg1ZmJmZjZjOTdhNTdlNzEifQ==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8A2CA459BD5041A187073D69E788F36D_12</vt:lpwstr>
  </property>
</Properties>
</file>